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bookmarkStart w:colFirst="0" w:colLast="0" w:name="_heading=h.gjdgxs" w:id="0"/>
      <w:bookmarkEnd w:id="0"/>
      <w:r w:rsidDel="00000000" w:rsidR="00000000" w:rsidRPr="00000000">
        <w:rPr>
          <w:b w:val="1"/>
          <w:sz w:val="28"/>
          <w:szCs w:val="28"/>
          <w:rtl w:val="0"/>
        </w:rPr>
        <w:t xml:space="preserve">28</w:t>
      </w:r>
      <w:r w:rsidDel="00000000" w:rsidR="00000000" w:rsidRPr="00000000">
        <w:rPr>
          <w:rFonts w:ascii="Calibri" w:cs="Calibri" w:eastAsia="Calibri" w:hAnsi="Calibri"/>
          <w:b w:val="1"/>
          <w:sz w:val="28"/>
          <w:szCs w:val="28"/>
          <w:rtl w:val="0"/>
        </w:rPr>
        <w:t xml:space="preserve">.</w:t>
      </w:r>
      <w:r w:rsidDel="00000000" w:rsidR="00000000" w:rsidRPr="00000000">
        <w:rPr>
          <w:b w:val="1"/>
          <w:sz w:val="28"/>
          <w:szCs w:val="28"/>
          <w:rtl w:val="0"/>
        </w:rPr>
        <w:t xml:space="preserve">02</w:t>
      </w:r>
      <w:r w:rsidDel="00000000" w:rsidR="00000000" w:rsidRPr="00000000">
        <w:rPr>
          <w:rFonts w:ascii="Calibri" w:cs="Calibri" w:eastAsia="Calibri" w:hAnsi="Calibri"/>
          <w:b w:val="1"/>
          <w:sz w:val="28"/>
          <w:szCs w:val="28"/>
          <w:rtl w:val="0"/>
        </w:rPr>
        <w:t xml:space="preserve">.202</w:t>
      </w:r>
      <w:r w:rsidDel="00000000" w:rsidR="00000000" w:rsidRPr="00000000">
        <w:rPr>
          <w:b w:val="1"/>
          <w:sz w:val="28"/>
          <w:szCs w:val="28"/>
          <w:rtl w:val="0"/>
        </w:rPr>
        <w:t xml:space="preserve">3</w:t>
      </w:r>
      <w:r w:rsidDel="00000000" w:rsidR="00000000" w:rsidRPr="00000000">
        <w:rPr>
          <w:rtl w:val="0"/>
        </w:rPr>
      </w:r>
    </w:p>
    <w:p w:rsidR="00000000" w:rsidDel="00000000" w:rsidP="00000000" w:rsidRDefault="00000000" w:rsidRPr="00000000" w14:paraId="00000003">
      <w:pPr>
        <w:keepNext w:val="0"/>
        <w:widowControl w:val="1"/>
        <w:spacing w:line="240" w:lineRule="auto"/>
        <w:jc w:val="left"/>
        <w:rPr>
          <w:b w:val="1"/>
          <w:sz w:val="26"/>
          <w:szCs w:val="26"/>
        </w:rPr>
      </w:pPr>
      <w:r w:rsidDel="00000000" w:rsidR="00000000" w:rsidRPr="00000000">
        <w:rPr>
          <w:rtl w:val="0"/>
        </w:rPr>
      </w:r>
    </w:p>
    <w:p w:rsidR="00000000" w:rsidDel="00000000" w:rsidP="00000000" w:rsidRDefault="00000000" w:rsidRPr="00000000" w14:paraId="00000004">
      <w:pPr>
        <w:keepNext w:val="0"/>
        <w:widowControl w:val="1"/>
        <w:spacing w:line="240" w:lineRule="auto"/>
        <w:jc w:val="center"/>
        <w:rPr>
          <w:b w:val="1"/>
          <w:sz w:val="28"/>
          <w:szCs w:val="28"/>
        </w:rPr>
      </w:pPr>
      <w:r w:rsidDel="00000000" w:rsidR="00000000" w:rsidRPr="00000000">
        <w:rPr>
          <w:b w:val="1"/>
          <w:sz w:val="28"/>
          <w:szCs w:val="28"/>
          <w:rtl w:val="0"/>
        </w:rPr>
        <w:t xml:space="preserve">UNDER ARMOUR BUSCA EMPODERAR A LAS MUJERES</w:t>
      </w:r>
    </w:p>
    <w:p w:rsidR="00000000" w:rsidDel="00000000" w:rsidP="00000000" w:rsidRDefault="00000000" w:rsidRPr="00000000" w14:paraId="00000005">
      <w:pPr>
        <w:jc w:val="center"/>
        <w:rPr>
          <w:sz w:val="26"/>
          <w:szCs w:val="26"/>
          <w:highlight w:val="yellow"/>
        </w:rPr>
      </w:pPr>
      <w:r w:rsidDel="00000000" w:rsidR="00000000" w:rsidRPr="00000000">
        <w:rPr>
          <w:rtl w:val="0"/>
        </w:rPr>
      </w:r>
    </w:p>
    <w:p w:rsidR="00000000" w:rsidDel="00000000" w:rsidP="00000000" w:rsidRDefault="00000000" w:rsidRPr="00000000" w14:paraId="00000006">
      <w:pPr>
        <w:numPr>
          <w:ilvl w:val="0"/>
          <w:numId w:val="1"/>
        </w:numPr>
        <w:ind w:left="720" w:hanging="360"/>
        <w:jc w:val="center"/>
        <w:rPr>
          <w:b w:val="1"/>
          <w:i w:val="1"/>
        </w:rPr>
      </w:pPr>
      <w:r w:rsidDel="00000000" w:rsidR="00000000" w:rsidRPr="00000000">
        <w:rPr>
          <w:b w:val="1"/>
          <w:i w:val="1"/>
          <w:sz w:val="26"/>
          <w:szCs w:val="26"/>
          <w:rtl w:val="0"/>
        </w:rPr>
        <w:t xml:space="preserve">La </w:t>
      </w:r>
      <w:r w:rsidDel="00000000" w:rsidR="00000000" w:rsidRPr="00000000">
        <w:rPr>
          <w:b w:val="1"/>
          <w:i w:val="1"/>
          <w:rtl w:val="0"/>
        </w:rPr>
        <w:t xml:space="preserve">carrera Bonafont y What a Woman serán 2 eventos patrocinados por la marca</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Siguiendo sus valores y objetivos, Under Armour será patrocinador oficial de la carrera Bonafont y de What a Woman 2023. Esto continúa con una meta de poder empoderar a las atletas para que alcancen su máximo potencial. La carrera promete ser uno de los espacios más grandes para las mujeres que buscan la mejor versión de sí mismas. Por otra parte, What a Woman es una plataforma para las mujeres que buscan un espacio para compartir y escuchar experiencias para inspirar una a otras. </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Se inscribieron 36,000 corredoras para la carrera Bonafont. Esto es algo nunca antes visto, ya que será la carrera con más </w:t>
      </w:r>
      <w:r w:rsidDel="00000000" w:rsidR="00000000" w:rsidRPr="00000000">
        <w:rPr>
          <w:b w:val="1"/>
          <w:rtl w:val="0"/>
        </w:rPr>
        <w:t xml:space="preserve">participantes en la historia de la ciudad</w:t>
      </w:r>
      <w:r w:rsidDel="00000000" w:rsidR="00000000" w:rsidRPr="00000000">
        <w:rPr>
          <w:rtl w:val="0"/>
        </w:rPr>
        <w:t xml:space="preserve">.  Se llevará a cabo en un circuito de 5 km por las calles de Paseo de la Reforma. Algunos de los puntos por los que pasará el evento son: el Ángel de la Independencia, el Circuito Gandhi y el Museo Nacional de Antropología. Esto permitirá ver a las corredoras algunos de los lugares más icónicos de la Ciudad de México. </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t xml:space="preserve">Habrá 4 categorías para las corredoras: la </w:t>
      </w:r>
      <w:r w:rsidDel="00000000" w:rsidR="00000000" w:rsidRPr="00000000">
        <w:rPr>
          <w:b w:val="1"/>
          <w:rtl w:val="0"/>
        </w:rPr>
        <w:t xml:space="preserve">Juvenil (15 a 19 años); la Libre (20 a 39 años); la Máster (40 a 49 años) y la de Veteranas (50 años o más).</w:t>
      </w:r>
      <w:r w:rsidDel="00000000" w:rsidR="00000000" w:rsidRPr="00000000">
        <w:rPr>
          <w:rtl w:val="0"/>
        </w:rPr>
        <w:t xml:space="preserve"> Esto permite que mujeres a partir de los 15 años puedan participar en este evento histórico. </w:t>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tl w:val="0"/>
        </w:rPr>
        <w:t xml:space="preserve">Además de esto, también habrá oportunidad de participar de forma virtual desde Facebook Live en la FanPage oficial de Bonafont. La instructora será la conductora Vanessa Huppenkothen. Esto se hará mediante distintos ejercicios que incluyen: cardio, yoga y ejercicios de estiramiento. Estos se podrán hacer desde cualquier lugar. </w:t>
      </w:r>
    </w:p>
    <w:p w:rsidR="00000000" w:rsidDel="00000000" w:rsidP="00000000" w:rsidRDefault="00000000" w:rsidRPr="00000000" w14:paraId="00000010">
      <w:pPr>
        <w:spacing w:line="360" w:lineRule="auto"/>
        <w:jc w:val="both"/>
        <w:rPr/>
      </w:pPr>
      <w:r w:rsidDel="00000000" w:rsidR="00000000" w:rsidRPr="00000000">
        <w:rPr>
          <w:rtl w:val="0"/>
        </w:rPr>
        <w:t xml:space="preserve">En cuanto a What a Woman, es un evento que se realizará el 4 y 5 de marzo. Esta es una plataforma que genera contenido y experiencias para marcas,ponentes y asistentes, a través de historias de mujeres con gran talento. Under Armour busca impulsar a las mujeres, y es por esto que considera crucial la participación en What a Woman. </w:t>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t xml:space="preserve">Se invita </w:t>
      </w:r>
      <w:r w:rsidDel="00000000" w:rsidR="00000000" w:rsidRPr="00000000">
        <w:rPr>
          <w:b w:val="1"/>
          <w:rtl w:val="0"/>
        </w:rPr>
        <w:t xml:space="preserve">a las mujeres y </w:t>
      </w:r>
      <w:r w:rsidDel="00000000" w:rsidR="00000000" w:rsidRPr="00000000">
        <w:rPr>
          <w:b w:val="1"/>
          <w:rtl w:val="0"/>
        </w:rPr>
        <w:t xml:space="preserve">a los medios </w:t>
      </w:r>
      <w:r w:rsidDel="00000000" w:rsidR="00000000" w:rsidRPr="00000000">
        <w:rPr>
          <w:rtl w:val="0"/>
        </w:rPr>
        <w:t xml:space="preserve">a involucrarse en estos eventos utilizando tenis y otros productos de ropa deportiva de Under Armour. Son una excelente opción para personas que apenas comienzan a participar en el mundo del running, ya que dan máxima comodidad y amortiguación ante las carreras más desafiantes, acercando a las corredoras a la victoria de sus vidas.</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5">
      <w:pPr>
        <w:pBdr>
          <w:bottom w:color="000000" w:space="1" w:sz="12" w:val="single"/>
        </w:pBdr>
        <w:jc w:val="both"/>
        <w:rPr>
          <w:rFonts w:ascii="ARMOUR Cd" w:cs="ARMOUR Cd" w:eastAsia="ARMOUR Cd" w:hAnsi="ARMOUR Cd"/>
          <w:sz w:val="20"/>
          <w:szCs w:val="20"/>
        </w:rPr>
      </w:pPr>
      <w:r w:rsidDel="00000000" w:rsidR="00000000" w:rsidRPr="00000000">
        <w:rPr>
          <w:rFonts w:ascii="ARMOUR Cd" w:cs="ARMOUR Cd" w:eastAsia="ARMOUR Cd" w:hAnsi="ARMOUR Cd"/>
          <w:b w:val="1"/>
          <w:sz w:val="20"/>
          <w:szCs w:val="20"/>
          <w:rtl w:val="0"/>
        </w:rPr>
        <w:t xml:space="preserve">Sobre Under Armour, Inc.:</w:t>
      </w:r>
      <w:r w:rsidDel="00000000" w:rsidR="00000000" w:rsidRPr="00000000">
        <w:rPr>
          <w:rFonts w:ascii="ARMOUR Cd" w:cs="ARMOUR Cd" w:eastAsia="ARMOUR Cd" w:hAnsi="ARMOUR Cd"/>
          <w:sz w:val="20"/>
          <w:szCs w:val="20"/>
          <w:rtl w:val="0"/>
        </w:rPr>
        <w:t xml:space="preserve"> </w:t>
      </w:r>
    </w:p>
    <w:p w:rsidR="00000000" w:rsidDel="00000000" w:rsidP="00000000" w:rsidRDefault="00000000" w:rsidRPr="00000000" w14:paraId="00000016">
      <w:pPr>
        <w:spacing w:after="240" w:before="240" w:lineRule="auto"/>
        <w:jc w:val="both"/>
        <w:rPr>
          <w:rFonts w:ascii="ARMOUR Cd" w:cs="ARMOUR Cd" w:eastAsia="ARMOUR Cd" w:hAnsi="ARMOUR Cd"/>
          <w:color w:val="1155cc"/>
          <w:sz w:val="20"/>
          <w:szCs w:val="20"/>
          <w:u w:val="single"/>
        </w:rPr>
      </w:pPr>
      <w:r w:rsidDel="00000000" w:rsidR="00000000" w:rsidRPr="00000000">
        <w:rPr>
          <w:rFonts w:ascii="ARMOUR Cd" w:cs="ARMOUR Cd" w:eastAsia="ARMOUR Cd" w:hAnsi="ARMOUR Cd"/>
          <w:sz w:val="20"/>
          <w:szCs w:val="20"/>
          <w:rtl w:val="0"/>
        </w:rPr>
        <w:t xml:space="preserve">Under Armour (NYSE: UA), con oficinas centrales en Baltimore, Maryland es líder inventor, comercializador y distribuidor de calzado, ropa y equipamiento de alto desempeño. Diseñada para hacer a todos los atletas mejores, los innovadores productos de la marca son vendidos en todo el mundo a atletas de todos los niveles.  La plataforma Under Armour Connected Fitness</w:t>
      </w:r>
      <w:r w:rsidDel="00000000" w:rsidR="00000000" w:rsidRPr="00000000">
        <w:rPr>
          <w:rFonts w:ascii="ARMOUR Cd" w:cs="ARMOUR Cd" w:eastAsia="ARMOUR Cd" w:hAnsi="ARMOUR Cd"/>
          <w:sz w:val="20"/>
          <w:szCs w:val="20"/>
          <w:vertAlign w:val="superscript"/>
          <w:rtl w:val="0"/>
        </w:rPr>
        <w:t xml:space="preserve">TM</w:t>
      </w:r>
      <w:r w:rsidDel="00000000" w:rsidR="00000000" w:rsidRPr="00000000">
        <w:rPr>
          <w:rFonts w:ascii="ARMOUR Cd" w:cs="ARMOUR Cd" w:eastAsia="ARMOUR Cd" w:hAnsi="ARMOUR Cd"/>
          <w:sz w:val="20"/>
          <w:szCs w:val="20"/>
          <w:rtl w:val="0"/>
        </w:rPr>
        <w:t xml:space="preserve"> alberga a la comunidad más grande de atletas y salud digital. Para más información, por favor visite el sitio web de la compañía:</w:t>
      </w:r>
      <w:hyperlink r:id="rId7">
        <w:r w:rsidDel="00000000" w:rsidR="00000000" w:rsidRPr="00000000">
          <w:rPr>
            <w:rFonts w:ascii="ARMOUR Cd" w:cs="ARMOUR Cd" w:eastAsia="ARMOUR Cd" w:hAnsi="ARMOUR Cd"/>
            <w:sz w:val="20"/>
            <w:szCs w:val="20"/>
            <w:rtl w:val="0"/>
          </w:rPr>
          <w:t xml:space="preserve"> </w:t>
        </w:r>
      </w:hyperlink>
      <w:hyperlink r:id="rId8">
        <w:r w:rsidDel="00000000" w:rsidR="00000000" w:rsidRPr="00000000">
          <w:rPr>
            <w:rFonts w:ascii="ARMOUR Cd" w:cs="ARMOUR Cd" w:eastAsia="ARMOUR Cd" w:hAnsi="ARMOUR Cd"/>
            <w:color w:val="1155cc"/>
            <w:sz w:val="20"/>
            <w:szCs w:val="20"/>
            <w:u w:val="single"/>
            <w:rtl w:val="0"/>
          </w:rPr>
          <w:t xml:space="preserve">www.uabiz.com</w:t>
        </w:r>
      </w:hyperlink>
      <w:r w:rsidDel="00000000" w:rsidR="00000000" w:rsidRPr="00000000">
        <w:rPr>
          <w:rtl w:val="0"/>
        </w:rPr>
      </w:r>
    </w:p>
    <w:p w:rsidR="00000000" w:rsidDel="00000000" w:rsidP="00000000" w:rsidRDefault="00000000" w:rsidRPr="00000000" w14:paraId="00000017">
      <w:pPr>
        <w:jc w:val="both"/>
        <w:rPr>
          <w:rFonts w:ascii="ARMOUR Cd" w:cs="ARMOUR Cd" w:eastAsia="ARMOUR Cd" w:hAnsi="ARMOUR Cd"/>
          <w:b w:val="1"/>
        </w:rPr>
      </w:pPr>
      <w:r w:rsidDel="00000000" w:rsidR="00000000" w:rsidRPr="00000000">
        <w:rPr>
          <w:rtl w:val="0"/>
        </w:rPr>
      </w:r>
    </w:p>
    <w:p w:rsidR="00000000" w:rsidDel="00000000" w:rsidP="00000000" w:rsidRDefault="00000000" w:rsidRPr="00000000" w14:paraId="00000018">
      <w:pPr>
        <w:jc w:val="both"/>
        <w:rPr>
          <w:rFonts w:ascii="ARMOUR Cd" w:cs="ARMOUR Cd" w:eastAsia="ARMOUR Cd" w:hAnsi="ARMOUR Cd"/>
          <w:b w:val="1"/>
        </w:rPr>
      </w:pPr>
      <w:r w:rsidDel="00000000" w:rsidR="00000000" w:rsidRPr="00000000">
        <w:rPr>
          <w:rFonts w:ascii="ARMOUR Cd" w:cs="ARMOUR Cd" w:eastAsia="ARMOUR Cd" w:hAnsi="ARMOUR Cd"/>
          <w:b w:val="1"/>
          <w:rtl w:val="0"/>
        </w:rPr>
        <w:t xml:space="preserve">Contacto para medios:</w:t>
      </w:r>
    </w:p>
    <w:p w:rsidR="00000000" w:rsidDel="00000000" w:rsidP="00000000" w:rsidRDefault="00000000" w:rsidRPr="00000000" w14:paraId="00000019">
      <w:pPr>
        <w:jc w:val="both"/>
        <w:rPr/>
      </w:pPr>
      <w:hyperlink r:id="rId9">
        <w:r w:rsidDel="00000000" w:rsidR="00000000" w:rsidRPr="00000000">
          <w:rPr>
            <w:color w:val="0000ee"/>
            <w:u w:val="single"/>
            <w:shd w:fill="auto" w:val="clear"/>
            <w:rtl w:val="0"/>
          </w:rPr>
          <w:t xml:space="preserve">Patricio Salom Fernández</w:t>
        </w:r>
      </w:hyperlink>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PR Assistant</w:t>
      </w:r>
    </w:p>
    <w:p w:rsidR="00000000" w:rsidDel="00000000" w:rsidP="00000000" w:rsidRDefault="00000000" w:rsidRPr="00000000" w14:paraId="0000001B">
      <w:pPr>
        <w:jc w:val="both"/>
        <w:rPr/>
      </w:pPr>
      <w:hyperlink r:id="rId10">
        <w:r w:rsidDel="00000000" w:rsidR="00000000" w:rsidRPr="00000000">
          <w:rPr>
            <w:color w:val="1155cc"/>
            <w:u w:val="single"/>
            <w:rtl w:val="0"/>
          </w:rPr>
          <w:t xml:space="preserve">patricio.salom@qprw.co</w:t>
        </w:r>
      </w:hyperlink>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32"/>
          <w:szCs w:val="32"/>
        </w:rPr>
      </w:pPr>
      <w:r w:rsidDel="00000000" w:rsidR="00000000" w:rsidRPr="00000000">
        <w:rPr>
          <w:rtl w:val="0"/>
        </w:rPr>
      </w:r>
    </w:p>
    <w:sectPr>
      <w:headerReference r:id="rId11" w:type="default"/>
      <w:headerReference r:id="rId12" w:type="first"/>
      <w:headerReference r:id="rId13" w:type="even"/>
      <w:footerReference r:id="rId14" w:type="first"/>
      <w:footerReference r:id="rId15" w:type="even"/>
      <w:pgSz w:h="15840" w:w="12240" w:orient="portrait"/>
      <w:pgMar w:bottom="1440" w:top="1440" w:left="1440" w:right="1440" w:header="705.6" w:footer="70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MOUR C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5943600" cy="787400"/>
          <wp:effectExtent b="0" l="0" r="0" t="0"/>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7874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patricio.salom@qprw.co"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tricio.salom@qprw.co"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abiz.com/" TargetMode="External"/><Relationship Id="rId8" Type="http://schemas.openxmlformats.org/officeDocument/2006/relationships/hyperlink" Target="http://www.ua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pz/OKaHA0jQ3N5VGv6WkhRRpvA==">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2022-09-20T18:55:00Z</dcterms:created>
  <dc:creator>F1rstcomm Comunicación</dc:creator>
</cp:coreProperties>
</file>